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44.03.03 Специальное (дефектологическое) образование (высшее образование - бакалавриат), Направленность (профиль) программы «Логопедия (Начальное образование детей с нарушениями речи)»,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Мониторинг развития детей с нарушением речи</w:t>
            </w:r>
          </w:p>
          <w:p>
            <w:pPr>
              <w:jc w:val="center"/>
              <w:spacing w:after="0" w:line="240" w:lineRule="auto"/>
              <w:rPr>
                <w:sz w:val="32"/>
                <w:szCs w:val="32"/>
              </w:rPr>
            </w:pPr>
            <w:r>
              <w:rPr>
                <w:rFonts w:ascii="Times New Roman" w:hAnsi="Times New Roman" w:cs="Times New Roman"/>
                <w:color w:val="#000000"/>
                <w:sz w:val="32"/>
                <w:szCs w:val="32"/>
              </w:rPr>
              <w:t> К.М.09.02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44.03.03 Специальное (дефектологическое)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«Логопедия (Начальное образование детей с нарушениями речи)»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ОБЛАСТИ ВОСПИТАНИЯ</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методический, сопровождения</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056.0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/Котлярова Т.С./</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44.03.03 Специальное (дефектологическое) образование направленность (профиль) программы: «Логопедия (Начальное образование детей с нарушениями речи)»;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«Мониторинг развития детей с нарушением речи»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 заочная форма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К.М.09.02 «Мониторинг развития детей с нарушением речи».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«Мониторинг развития детей с нарушением речи»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мониторинг эффективности учебно-воспитательного и коррекционо-развивающего процесса</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 знать принципы,  методы, организацию  мониторинга  эффективности учебно- воспитательного, коррекционно-развивающего  процесса в разных  институциональных условиях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уметь применять  разные  методы мониторинга  эффективности  учебно- воспитательного,  коррекционо-развивающего процесса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 уметь  оформлять  и  интерпретировать  результаты мониторинга  эффективности учебно-воспитательного,  коррекционо-развивающего процесса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ПК-3.4 уметь использовать выводы по результатам мониторинга  для  корректировки содержания  и организации  коррекционо-развивающего процесса</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ПК-3.5 владеть методами проведения мониторинга  эффективности  учебно- воспитательного,  коррекционо-развивающего  процесса и интерпретации его результатов</w:t>
            </w:r>
          </w:p>
        </w:tc>
      </w:tr>
      <w:tr>
        <w:trPr>
          <w:trHeight w:hRule="exact" w:val="277.8295"/>
        </w:trPr>
        <w:tc>
          <w:tcPr>
            <w:tcW w:w="9640" w:type="dxa"/>
          </w:tcP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проводить логопедическое обследование обучающихся с целью выявления нарушений речи и других когнитивных функций, разработки и реализации программы логопедической работы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 знать содержание и требования к проведению логопедического обследования обучающихся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 знать способы разработки программы обследования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ПК-4.4 уметь разрабатывать программу логопедического обследования, определять показатели развития ребенка, отбирать и/или разрабатывать инструментарий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ПК-4.7 владеть методами  диагностики  и оценки уровня и динамики развития ребенка с умственной отсталостью с использованием системы показателей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1125.873"/>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ПК-7</w:t>
            </w:r>
          </w:p>
          <w:p>
            <w:pPr>
              <w:jc w:val="left"/>
              <w:spacing w:after="0" w:line="240" w:lineRule="auto"/>
              <w:rPr>
                <w:sz w:val="24"/>
                <w:szCs w:val="24"/>
              </w:rPr>
            </w:pPr>
            <w:r>
              <w:rPr>
                <w:rFonts w:ascii="Times New Roman" w:hAnsi="Times New Roman" w:cs="Times New Roman"/>
                <w:b/>
                <w:color w:val="#000000"/>
                <w:sz w:val="24"/>
                <w:szCs w:val="24"/>
              </w:rPr>
              <w:t> Способен провести под руководством преподавателя исследование научной проблемы в области осваиваемого научного знания, подготовить и представить квалификационную работу</w:t>
            </w:r>
          </w:p>
        </w:tc>
      </w:tr>
      <w:tr>
        <w:trPr>
          <w:trHeight w:hRule="exact" w:val="585.0601"/>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ПК-7.1 знать методологию  психолого-педагогического  исследования в  области логопедии</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ПК-7.2 знать способы сбора, оформления и интерпретации экспериментальных данных</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ПК-7.3 знать требования к  написанию и  оформлению научных текстов</w:t>
            </w:r>
          </w:p>
        </w:tc>
      </w:tr>
      <w:tr>
        <w:trPr>
          <w:trHeight w:hRule="exact" w:val="855.54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ПК-7.4 уметь  определять научную проблему в рамках темы квалификационной работы; определять методы теоретического и экспериментального исследования научной проблемы</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ПК-7.5 уметь  планировать  и  проводить  экспериментальное исследование</w:t>
            </w:r>
          </w:p>
        </w:tc>
      </w:tr>
      <w:tr>
        <w:trPr>
          <w:trHeight w:hRule="exact" w:val="855.54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ПК-7.6 уметь использовать разные способы сбора, обработки и интерпретации данных, полученных в ходе теоретического анализа научной проблемы и экспериментальным путем</w:t>
            </w:r>
          </w:p>
        </w:tc>
      </w:tr>
      <w:tr>
        <w:trPr>
          <w:trHeight w:hRule="exact" w:val="855.54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ПК-7.7 уметь оформлять, анализировать, обобщать и представлять полученные результаты исследования научной проблемы в соответствии с предъявляемыми требованиями создавать и оформлять научный текст</w:t>
            </w:r>
          </w:p>
        </w:tc>
      </w:tr>
      <w:tr>
        <w:trPr>
          <w:trHeight w:hRule="exact" w:val="855.5397"/>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ПК-7.8 владеть начальными  методами проведения  теоретического и экспериментального исследования научной проблемы; навыками  проведения экспериментального исследования</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ПК-7.9 владеть  умением  создавать  и  оформлять  связный научный текст</w:t>
            </w:r>
          </w:p>
        </w:tc>
      </w:tr>
      <w:tr>
        <w:trPr>
          <w:trHeight w:hRule="exact" w:val="585.06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ПК-7.10 владеть  навыками  интерпретации,    обобщения  и представления экспериментальных данных</w:t>
            </w:r>
          </w:p>
        </w:tc>
      </w:tr>
      <w:tr>
        <w:trPr>
          <w:trHeight w:hRule="exact" w:val="416.7446"/>
        </w:trPr>
        <w:tc>
          <w:tcPr>
            <w:tcW w:w="3970" w:type="dxa"/>
          </w:tcPr>
          <w:p/>
        </w:tc>
        <w:tc>
          <w:tcPr>
            <w:tcW w:w="3828" w:type="dxa"/>
          </w:tcPr>
          <w:p/>
        </w:tc>
        <w:tc>
          <w:tcPr>
            <w:tcW w:w="852" w:type="dxa"/>
          </w:tcPr>
          <w:p/>
        </w:tc>
        <w:tc>
          <w:tcPr>
            <w:tcW w:w="993" w:type="dxa"/>
          </w:tcPr>
          <w:p/>
        </w:tc>
      </w:tr>
      <w:tr>
        <w:trPr>
          <w:trHeight w:hRule="exact" w:val="304.5836"/>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К.М.09.02 «Мониторинг развития детей с нарушением речи» относится к обязательной части, является дисциплиной Блока Б1. «Дисциплины (модули)». Модуль "Диагностический"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Система оказания логопедической помощи детям с ОВЗ</w:t>
            </w:r>
          </w:p>
          <w:p>
            <w:pPr>
              <w:jc w:val="center"/>
              <w:spacing w:after="0" w:line="240" w:lineRule="auto"/>
              <w:rPr>
                <w:sz w:val="22"/>
                <w:szCs w:val="22"/>
              </w:rPr>
            </w:pPr>
            <w:r>
              <w:rPr>
                <w:rFonts w:ascii="Times New Roman" w:hAnsi="Times New Roman" w:cs="Times New Roman"/>
                <w:color w:val="#000000"/>
                <w:sz w:val="22"/>
                <w:szCs w:val="22"/>
              </w:rPr>
              <w:t> Логопсихология</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Аграмматическая дисграфия у обучающихся с ТНР</w:t>
            </w:r>
          </w:p>
          <w:p>
            <w:pPr>
              <w:jc w:val="center"/>
              <w:spacing w:after="0" w:line="240" w:lineRule="auto"/>
              <w:rPr>
                <w:sz w:val="22"/>
                <w:szCs w:val="22"/>
              </w:rPr>
            </w:pPr>
            <w:r>
              <w:rPr>
                <w:rFonts w:ascii="Times New Roman" w:hAnsi="Times New Roman" w:cs="Times New Roman"/>
                <w:color w:val="#000000"/>
                <w:sz w:val="22"/>
                <w:szCs w:val="22"/>
              </w:rPr>
              <w:t> Нарушения речи у детей с сенсорной, двигательной и интеллектуальной недостаточностью</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ПК-4, ПК-3, ПК-7</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3"/>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5"/>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3</w:t>
            </w:r>
          </w:p>
        </w:tc>
      </w:tr>
      <w:tr>
        <w:trPr>
          <w:trHeight w:hRule="exact" w:val="277.829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Теоретические представления о речи как высшей психической функции.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Принципы и методы психологопедагогического изучения детей с нарушениями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Обследование строения органов артикуляции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Этапы и задачи психолого-педагогической диагностики детей с речевыми нарушениями.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дизонтогенетического развития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психодиагностические модели изучения детей с речевыми нарушениями.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нарушений речевого развития при сенсорной патологии.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нарушений речевого развития при интеллектуальной недостаточности.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нарушений речи при эмоциональной патологии.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Изучение подвижности органов артикуляции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заикание. Механизм возникновения заикания.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Классификация форм заикания. Причины возникновения заикания. Симптоматика заикания. Особенности течения заикания.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Обследование, дифференциальная диагностика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722.882"/>
        </w:trPr>
        <w:tc>
          <w:tcPr>
            <w:tcW w:w="9654" w:type="dxa"/>
            <w:gridSpan w:val="5"/>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213.7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Теоретические представления о речи как высшей психической функции.</w:t>
            </w:r>
          </w:p>
        </w:tc>
      </w:tr>
      <w:tr>
        <w:trPr>
          <w:trHeight w:hRule="exact" w:val="277.8304"/>
        </w:trPr>
        <w:tc>
          <w:tcPr>
            <w:tcW w:w="9654" w:type="dxa"/>
            <w:tcBorders>
</w:tcBorders>
            <w:vMerge/>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Высшие психические функции как продукт исторического развития (Л.С. Выготский). Понятие о функциональной системе (П.К. Анохин). А.Р. Лурия, А.Н. Леонтьев о физиологической основе высших психических функций. Оценка речи как высшей психической функции. Оценка состояния детской речи с позиций довербального и начального вербального развития. Методики, шкалы, используемые для оценки состояния довербального и начального вербального развития детей раннего возраста. Анализ схемы системного развития нормальной детской речи, шкал психомоторного развития детей в возрасте 1-3 года. (А. Н. Гвоздев, Н.С. Жукова, Е.С. Кешишян, Гриффитс).</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Принципы и методы психологопедагогического изучения детей с нарушениями развития.</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Методы, используемые в диагностической деятельности логопеда (наблюдение, беседа, изучение истории развития ребенка, анкетирование, опрос). Разграничение понятий «методы психолого-педагогической диагностики», «методики психолого-педагогической диагностики». Методологические требования к средствам психологопедагогического исследования, проводимого с целью диагностики детей с речевыми нарушениями. Обзор экспериментально-психологических и тестовых методик изучения детей и подростков с речевыми расстройствами.</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Обследование строения органов артикуляции</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Цель: сформировать навыки разработки протокола обследования и диагностики строения органов артикуляции для выявления причин нарушения звукопроизношения у детей.</w:t>
            </w:r>
          </w:p>
          <w:p>
            <w:pPr>
              <w:jc w:val="both"/>
              <w:spacing w:after="0" w:line="240" w:lineRule="auto"/>
              <w:rPr>
                <w:sz w:val="24"/>
                <w:szCs w:val="24"/>
              </w:rPr>
            </w:pPr>
            <w:r>
              <w:rPr>
                <w:rFonts w:ascii="Times New Roman" w:hAnsi="Times New Roman" w:cs="Times New Roman"/>
                <w:color w:val="#000000"/>
                <w:sz w:val="24"/>
                <w:szCs w:val="24"/>
              </w:rPr>
              <w:t> Вопросы и задания: 1. Нарисуйте в рабочей тетради профиль органов артикуляции. Закрасьте разным цветом подвижные и неподвижные органы артикуляции.</w:t>
            </w:r>
          </w:p>
          <w:p>
            <w:pPr>
              <w:jc w:val="both"/>
              <w:spacing w:after="0" w:line="240" w:lineRule="auto"/>
              <w:rPr>
                <w:sz w:val="24"/>
                <w:szCs w:val="24"/>
              </w:rPr>
            </w:pPr>
            <w:r>
              <w:rPr>
                <w:rFonts w:ascii="Times New Roman" w:hAnsi="Times New Roman" w:cs="Times New Roman"/>
                <w:color w:val="#000000"/>
                <w:sz w:val="24"/>
                <w:szCs w:val="24"/>
              </w:rPr>
              <w:t> 2. Нарушение каких органов артикуляции приводит к неправильному звукопроизношению при дислалии?</w:t>
            </w:r>
          </w:p>
          <w:p>
            <w:pPr>
              <w:jc w:val="both"/>
              <w:spacing w:after="0" w:line="240" w:lineRule="auto"/>
              <w:rPr>
                <w:sz w:val="24"/>
                <w:szCs w:val="24"/>
              </w:rPr>
            </w:pPr>
            <w:r>
              <w:rPr>
                <w:rFonts w:ascii="Times New Roman" w:hAnsi="Times New Roman" w:cs="Times New Roman"/>
                <w:color w:val="#000000"/>
                <w:sz w:val="24"/>
                <w:szCs w:val="24"/>
              </w:rPr>
              <w:t> 3. Продумайте и запишите в тетради инструкции для проведения обследования строения органов артикуляции у детей дошкольного возраста.</w:t>
            </w:r>
          </w:p>
          <w:p>
            <w:pPr>
              <w:jc w:val="both"/>
              <w:spacing w:after="0" w:line="240" w:lineRule="auto"/>
              <w:rPr>
                <w:sz w:val="24"/>
                <w:szCs w:val="24"/>
              </w:rPr>
            </w:pPr>
            <w:r>
              <w:rPr>
                <w:rFonts w:ascii="Times New Roman" w:hAnsi="Times New Roman" w:cs="Times New Roman"/>
                <w:color w:val="#000000"/>
                <w:sz w:val="24"/>
                <w:szCs w:val="24"/>
              </w:rPr>
              <w:t> 4. Подготовьте протокол обследования строения органов артикуляции. При посещении специального образовательного учреждения проведите обследование строения органов артикуляции у ребенка или школьника с дислалией. Оформите протокол обследования, сделайте выводы.</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«Мониторинг развития детей с нарушением речи» / Котлярова Т.С..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Психолого-педагогическая</w:t>
            </w:r>
            <w:r>
              <w:rPr/>
              <w:t xml:space="preserve"> </w:t>
            </w:r>
            <w:r>
              <w:rPr>
                <w:rFonts w:ascii="Times New Roman" w:hAnsi="Times New Roman" w:cs="Times New Roman"/>
                <w:color w:val="#000000"/>
                <w:sz w:val="24"/>
                <w:szCs w:val="24"/>
              </w:rPr>
              <w:t>диагностика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Опевалова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Ар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452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978-5-4497-0111-4.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http://www.iprbookshop.ru/86454.html</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психолого-педагогического</w:t>
            </w:r>
            <w:r>
              <w:rPr/>
              <w:t xml:space="preserve"> </w:t>
            </w:r>
            <w:r>
              <w:rPr>
                <w:rFonts w:ascii="Times New Roman" w:hAnsi="Times New Roman" w:cs="Times New Roman"/>
                <w:color w:val="#000000"/>
                <w:sz w:val="24"/>
                <w:szCs w:val="24"/>
              </w:rPr>
              <w:t>исследования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Соловьева,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психолого-педагогического</w:t>
            </w:r>
            <w:r>
              <w:rPr/>
              <w:t xml:space="preserve"> </w:t>
            </w:r>
            <w:r>
              <w:rPr>
                <w:rFonts w:ascii="Times New Roman" w:hAnsi="Times New Roman" w:cs="Times New Roman"/>
                <w:color w:val="#000000"/>
                <w:sz w:val="24"/>
                <w:szCs w:val="24"/>
              </w:rPr>
              <w:t>исследования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Ставрополь:</w:t>
            </w:r>
            <w:r>
              <w:rPr/>
              <w:t xml:space="preserve"> </w:t>
            </w:r>
            <w:r>
              <w:rPr>
                <w:rFonts w:ascii="Times New Roman" w:hAnsi="Times New Roman" w:cs="Times New Roman"/>
                <w:color w:val="#000000"/>
                <w:sz w:val="24"/>
                <w:szCs w:val="24"/>
              </w:rPr>
              <w:t>Северо-Кавказский</w:t>
            </w:r>
            <w:r>
              <w:rPr/>
              <w:t xml:space="preserve"> </w:t>
            </w:r>
            <w:r>
              <w:rPr>
                <w:rFonts w:ascii="Times New Roman" w:hAnsi="Times New Roman" w:cs="Times New Roman"/>
                <w:color w:val="#000000"/>
                <w:sz w:val="24"/>
                <w:szCs w:val="24"/>
              </w:rPr>
              <w:t>федеральный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http://www.iprbookshop.ru/99433.html</w:t>
            </w:r>
            <w:r>
              <w:rPr/>
              <w:t xml:space="preserve"> </w:t>
            </w:r>
          </w:p>
        </w:tc>
      </w:tr>
      <w:tr>
        <w:trPr>
          <w:trHeight w:hRule="exact" w:val="277.8299"/>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Полный</w:t>
            </w:r>
            <w:r>
              <w:rPr/>
              <w:t xml:space="preserve"> </w:t>
            </w:r>
            <w:r>
              <w:rPr>
                <w:rFonts w:ascii="Times New Roman" w:hAnsi="Times New Roman" w:cs="Times New Roman"/>
                <w:color w:val="#000000"/>
                <w:sz w:val="24"/>
                <w:szCs w:val="24"/>
              </w:rPr>
              <w:t>справочник</w:t>
            </w:r>
            <w:r>
              <w:rPr/>
              <w:t xml:space="preserve"> </w:t>
            </w:r>
            <w:r>
              <w:rPr>
                <w:rFonts w:ascii="Times New Roman" w:hAnsi="Times New Roman" w:cs="Times New Roman"/>
                <w:color w:val="#000000"/>
                <w:sz w:val="24"/>
                <w:szCs w:val="24"/>
              </w:rPr>
              <w:t>логопеда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Абрамович</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Артапухина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Астафьева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Бычкова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Трофимова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Колесникова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Копасова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Кузнецова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Блисов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Семенова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Ступаченко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Юдина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Урядова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Козырев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Полный</w:t>
            </w:r>
            <w:r>
              <w:rPr/>
              <w:t xml:space="preserve"> </w:t>
            </w:r>
            <w:r>
              <w:rPr>
                <w:rFonts w:ascii="Times New Roman" w:hAnsi="Times New Roman" w:cs="Times New Roman"/>
                <w:color w:val="#000000"/>
                <w:sz w:val="24"/>
                <w:szCs w:val="24"/>
              </w:rPr>
              <w:t>справочник</w:t>
            </w:r>
            <w:r>
              <w:rPr/>
              <w:t xml:space="preserve"> </w:t>
            </w:r>
            <w:r>
              <w:rPr>
                <w:rFonts w:ascii="Times New Roman" w:hAnsi="Times New Roman" w:cs="Times New Roman"/>
                <w:color w:val="#000000"/>
                <w:sz w:val="24"/>
                <w:szCs w:val="24"/>
              </w:rPr>
              <w:t>логопеда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Научная</w:t>
            </w:r>
            <w:r>
              <w:rPr/>
              <w:t xml:space="preserve"> </w:t>
            </w:r>
            <w:r>
              <w:rPr>
                <w:rFonts w:ascii="Times New Roman" w:hAnsi="Times New Roman" w:cs="Times New Roman"/>
                <w:color w:val="#000000"/>
                <w:sz w:val="24"/>
                <w:szCs w:val="24"/>
              </w:rPr>
              <w:t>книга,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978-5-9758-1862-1.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http://www.iprbookshop.ru/80216.html</w:t>
            </w:r>
            <w:r>
              <w:rPr/>
              <w:t xml:space="preserve"> </w:t>
            </w:r>
          </w:p>
        </w:tc>
      </w:tr>
      <w:tr>
        <w:trPr>
          <w:trHeight w:hRule="exact" w:val="1340.199"/>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Логопедия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Соловьева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Градова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978-5-534-07395-9.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https://urait.ru/bcode/452272</w:t>
            </w:r>
            <w:r>
              <w:rPr/>
              <w:t xml:space="preserve"> </w:t>
            </w:r>
          </w:p>
        </w:tc>
      </w:tr>
      <w:tr>
        <w:trPr>
          <w:trHeight w:hRule="exact" w:val="555.660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Коррекция</w:t>
            </w:r>
            <w:r>
              <w:rPr/>
              <w:t xml:space="preserve"> </w:t>
            </w:r>
            <w:r>
              <w:rPr>
                <w:rFonts w:ascii="Times New Roman" w:hAnsi="Times New Roman" w:cs="Times New Roman"/>
                <w:color w:val="#000000"/>
                <w:sz w:val="24"/>
                <w:szCs w:val="24"/>
              </w:rPr>
              <w:t>речевых</w:t>
            </w:r>
            <w:r>
              <w:rPr/>
              <w:t xml:space="preserve"> </w:t>
            </w:r>
            <w:r>
              <w:rPr>
                <w:rFonts w:ascii="Times New Roman" w:hAnsi="Times New Roman" w:cs="Times New Roman"/>
                <w:color w:val="#000000"/>
                <w:sz w:val="24"/>
                <w:szCs w:val="24"/>
              </w:rPr>
              <w:t>нарушений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Криницына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978-5-534-11286-3.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https://urait.ru/bcode/456899</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133.552"/>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3815.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435.709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238.7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2023-2024_ФГОС3++2023_Бак-ЗФО-СДО(Логопедия)(23)_plx_Мониторинг развития детей с нарушением речи</dc:title>
  <dc:creator>FastReport.NET</dc:creator>
</cp:coreProperties>
</file>